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ББП-20 Lite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ББП-20 Lite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524375" cy="52768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27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446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445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478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5029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2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20863" cy="3674349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0863" cy="36743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49450" cy="38679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9450" cy="3867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35225" cy="4359292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5225" cy="4359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966.3779527559075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2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