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ББП-50 DIN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ББП-50 DIN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90925" cy="41624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16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700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826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478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73488" cy="4989551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3488" cy="49895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95650" cy="43243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2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352800" cy="40100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01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90925" cy="4162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16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