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ББП-50 POE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ББП-50 POE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111463" cy="4619442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1463" cy="4619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699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859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348288" cy="5117298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8288" cy="5117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92275" cy="36828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2275" cy="368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25700" cy="446389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5700" cy="4463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92388" cy="4366019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2388" cy="436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2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